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3F" w:rsidRDefault="00CC61B6" w:rsidP="00DC0A3F">
      <w:pPr>
        <w:pStyle w:val="BodyA"/>
      </w:pPr>
      <w:bookmarkStart w:id="0" w:name="_GoBack"/>
      <w:bookmarkEnd w:id="0"/>
      <w:r>
        <w:t xml:space="preserve">This </w:t>
      </w:r>
      <w:r w:rsidR="000D1627">
        <w:t xml:space="preserve">U.S. Programs </w:t>
      </w:r>
      <w:r>
        <w:t xml:space="preserve">portfolio review will focus on two significant inflection points that mark the voting rights </w:t>
      </w:r>
      <w:r w:rsidR="00483180">
        <w:t xml:space="preserve">and elections </w:t>
      </w:r>
      <w:r>
        <w:t xml:space="preserve">landscape since </w:t>
      </w:r>
      <w:r w:rsidR="00483180">
        <w:t>the Democracy Fund</w:t>
      </w:r>
      <w:r>
        <w:t xml:space="preserve"> began the work embraced by this portfolio in late 2008: (1) The 2011-2102 “war on voting,” waged to disenfranchise those who elected Barack Obama, and (2) the U.S. Supreme Court decision in </w:t>
      </w:r>
      <w:r>
        <w:rPr>
          <w:i/>
          <w:iCs/>
        </w:rPr>
        <w:t xml:space="preserve">Shelby County v. Holder </w:t>
      </w:r>
      <w:r>
        <w:t xml:space="preserve">which followed in June of 2013. At the suggestion of Chris Stone, we reflect on our </w:t>
      </w:r>
      <w:proofErr w:type="spellStart"/>
      <w:r>
        <w:t>grantmaking</w:t>
      </w:r>
      <w:proofErr w:type="spellEnd"/>
      <w:r>
        <w:t xml:space="preserve"> and programmatic response</w:t>
      </w:r>
      <w:r w:rsidR="007E4072">
        <w:t>s</w:t>
      </w:r>
      <w:r>
        <w:t xml:space="preserve"> to these events using critical incident analyses</w:t>
      </w:r>
      <w:r w:rsidR="007E4072">
        <w:t xml:space="preserve">. We </w:t>
      </w:r>
      <w:r>
        <w:t xml:space="preserve">examine our actions prior to, during and </w:t>
      </w:r>
      <w:r w:rsidR="007E4072">
        <w:t>following</w:t>
      </w:r>
      <w:r>
        <w:t xml:space="preserve"> these events. </w:t>
      </w:r>
      <w:r w:rsidR="00D93540">
        <w:t xml:space="preserve"> </w:t>
      </w:r>
      <w:r w:rsidR="00974898">
        <w:t xml:space="preserve">Reviewing </w:t>
      </w:r>
      <w:r>
        <w:t xml:space="preserve">the portfolio </w:t>
      </w:r>
      <w:r w:rsidR="00974898">
        <w:t xml:space="preserve">employing this chronological guide </w:t>
      </w:r>
      <w:r>
        <w:t>may help more easily explore the issues involved in this somewhat expansive topic (including voting rights generally, voter registration, registration modernization, voter suppression and fraud/integrity</w:t>
      </w:r>
      <w:r w:rsidR="00202760">
        <w:t xml:space="preserve">, and </w:t>
      </w:r>
      <w:r w:rsidR="00132DD7">
        <w:t>specific litigation and policies</w:t>
      </w:r>
      <w:r w:rsidR="00202760">
        <w:t>)</w:t>
      </w:r>
      <w:r w:rsidR="00974898">
        <w:t>.</w:t>
      </w:r>
      <w:r w:rsidR="00202760">
        <w:t xml:space="preserve">  </w:t>
      </w:r>
    </w:p>
    <w:p w:rsidR="00904C0A" w:rsidRDefault="00CC61B6">
      <w:pPr>
        <w:pStyle w:val="BodyA"/>
      </w:pPr>
      <w:r>
        <w:t xml:space="preserve">The </w:t>
      </w:r>
      <w:r w:rsidR="00A13041">
        <w:t xml:space="preserve">political </w:t>
      </w:r>
      <w:r>
        <w:t xml:space="preserve">backdrop for this work </w:t>
      </w:r>
      <w:r w:rsidR="00592708">
        <w:t xml:space="preserve">could be described as </w:t>
      </w:r>
      <w:r>
        <w:t>highly partisan and racially motivated</w:t>
      </w:r>
      <w:r w:rsidR="00A13041">
        <w:t>.</w:t>
      </w:r>
      <w:r>
        <w:t xml:space="preserve">  Voter suppression measures were introduced in states that in 20</w:t>
      </w:r>
      <w:r w:rsidR="00993AE4">
        <w:t xml:space="preserve">08 saw high Black voter turnout, </w:t>
      </w:r>
      <w:r>
        <w:t>significant increases in Latino population</w:t>
      </w:r>
      <w:r w:rsidR="00DC0A3F">
        <w:t>, and the national election of a black President</w:t>
      </w:r>
      <w:r>
        <w:t xml:space="preserve">. The states previously covered by Section 5, before the </w:t>
      </w:r>
      <w:r>
        <w:rPr>
          <w:i/>
          <w:iCs/>
        </w:rPr>
        <w:t>Shelby County v. Holder</w:t>
      </w:r>
      <w:r>
        <w:t xml:space="preserve"> decision, were jurisdictions with a history of racial discrimination in voting practices.  </w:t>
      </w:r>
      <w:r w:rsidR="00EB01F4">
        <w:t xml:space="preserve">We </w:t>
      </w:r>
      <w:r>
        <w:t>therefore need</w:t>
      </w:r>
      <w:r w:rsidR="00EB01F4">
        <w:t>ed</w:t>
      </w:r>
      <w:r>
        <w:t xml:space="preserve"> </w:t>
      </w:r>
      <w:r w:rsidR="00EB01F4">
        <w:t xml:space="preserve">to resource work that </w:t>
      </w:r>
      <w:r w:rsidR="00993AE4">
        <w:t xml:space="preserve">adjusted itself to </w:t>
      </w:r>
      <w:r>
        <w:t xml:space="preserve">the </w:t>
      </w:r>
      <w:r w:rsidR="00993AE4">
        <w:t xml:space="preserve">changing </w:t>
      </w:r>
      <w:r>
        <w:t>political and demographic landscape. The field—a</w:t>
      </w:r>
      <w:r w:rsidR="0061209D">
        <w:t xml:space="preserve"> combination of civil rights,</w:t>
      </w:r>
      <w:r>
        <w:t xml:space="preserve"> good government </w:t>
      </w:r>
      <w:r w:rsidR="0061209D">
        <w:t xml:space="preserve">and grassroots </w:t>
      </w:r>
      <w:r>
        <w:t>advocates,</w:t>
      </w:r>
      <w:r w:rsidR="0061209D">
        <w:t xml:space="preserve"> </w:t>
      </w:r>
      <w:r>
        <w:t>and legal, research and communications gro</w:t>
      </w:r>
      <w:r w:rsidR="007B64E5">
        <w:t>ups –would need support</w:t>
      </w:r>
      <w:r>
        <w:t xml:space="preserve"> to </w:t>
      </w:r>
      <w:r w:rsidR="006D74A2">
        <w:t xml:space="preserve">collaborate </w:t>
      </w:r>
      <w:r w:rsidR="00530F20">
        <w:t>to defend harmful policies, and to</w:t>
      </w:r>
      <w:r w:rsidR="006D74A2">
        <w:t xml:space="preserve"> </w:t>
      </w:r>
      <w:r>
        <w:t xml:space="preserve">analyze and </w:t>
      </w:r>
      <w:r w:rsidR="00530F20">
        <w:t>reverse</w:t>
      </w:r>
      <w:r>
        <w:t xml:space="preserve"> the other side’s “election integrity” narrative</w:t>
      </w:r>
      <w:r w:rsidR="00530F20">
        <w:t>,</w:t>
      </w:r>
      <w:r>
        <w:t xml:space="preserve"> </w:t>
      </w:r>
      <w:r w:rsidR="007B64E5">
        <w:t xml:space="preserve">in order </w:t>
      </w:r>
      <w:r>
        <w:t xml:space="preserve">to protect minority voting rights, expand the electorate and develop a successful long-term voting </w:t>
      </w:r>
      <w:r w:rsidR="00202760">
        <w:t xml:space="preserve">rights narrative of its own.  </w:t>
      </w:r>
    </w:p>
    <w:p w:rsidR="00904C0A" w:rsidRDefault="00CC61B6">
      <w:pPr>
        <w:pStyle w:val="BodyA"/>
      </w:pPr>
      <w:r>
        <w:t xml:space="preserve">OSF’s </w:t>
      </w:r>
      <w:proofErr w:type="spellStart"/>
      <w:r>
        <w:t>grantmaking</w:t>
      </w:r>
      <w:proofErr w:type="spellEnd"/>
      <w:r>
        <w:t xml:space="preserve"> supported collaborative efforts, through both c3 and c4 grants and the creation of a donor collaborative—with some success and many challenges.  This review attempts to understand how our </w:t>
      </w:r>
      <w:proofErr w:type="spellStart"/>
      <w:r>
        <w:t>grantmaking</w:t>
      </w:r>
      <w:proofErr w:type="spellEnd"/>
      <w:r>
        <w:t xml:space="preserve"> </w:t>
      </w:r>
      <w:r w:rsidR="00291ACA">
        <w:t xml:space="preserve">has </w:t>
      </w:r>
      <w:r>
        <w:t xml:space="preserve">affected the field’s ability to respond effectively to the assault on voting rights. We </w:t>
      </w:r>
      <w:r w:rsidR="00291ACA">
        <w:t>l</w:t>
      </w:r>
      <w:r>
        <w:t xml:space="preserve">ook forward to </w:t>
      </w:r>
      <w:r w:rsidR="00291ACA">
        <w:t xml:space="preserve">discussing whether pressing the field to advance affirmative reforms - when organizations were stretched just playing defense, and implementing new communications tools -  was the best approach to have taken in an especially partisan and racialized period.  We also look forward to analyzing </w:t>
      </w:r>
      <w:r>
        <w:t xml:space="preserve">whether our substantial response—both in advance of the </w:t>
      </w:r>
      <w:r w:rsidRPr="00291ACA">
        <w:rPr>
          <w:i/>
        </w:rPr>
        <w:t>Shelby</w:t>
      </w:r>
      <w:r>
        <w:t xml:space="preserve"> decision, and after it—was the best way to meet the new needs</w:t>
      </w:r>
      <w:r w:rsidR="00291ACA">
        <w:t>.</w:t>
      </w:r>
      <w:r>
        <w:t xml:space="preserve"> </w:t>
      </w:r>
    </w:p>
    <w:p w:rsidR="005F4EB6" w:rsidRDefault="005F4EB6" w:rsidP="005F4EB6">
      <w:pPr>
        <w:pStyle w:val="NoSpacing"/>
        <w:rPr>
          <w:rFonts w:ascii="Calibri" w:hAnsi="Calibri"/>
          <w:b/>
          <w:sz w:val="22"/>
          <w:szCs w:val="22"/>
          <w:u w:val="single"/>
        </w:rPr>
      </w:pPr>
      <w:r w:rsidRPr="005F4EB6">
        <w:rPr>
          <w:rFonts w:ascii="Calibri" w:hAnsi="Calibri"/>
          <w:b/>
          <w:sz w:val="22"/>
          <w:szCs w:val="22"/>
          <w:u w:val="single"/>
        </w:rPr>
        <w:t>Looking Ahead/Questions to Consider</w:t>
      </w:r>
      <w:r w:rsidR="00A33720">
        <w:rPr>
          <w:rFonts w:ascii="Calibri" w:hAnsi="Calibri"/>
          <w:b/>
          <w:sz w:val="22"/>
          <w:szCs w:val="22"/>
          <w:u w:val="single"/>
        </w:rPr>
        <w:t>:</w:t>
      </w:r>
    </w:p>
    <w:p w:rsidR="005F4EB6" w:rsidRDefault="005F4EB6" w:rsidP="005F4EB6">
      <w:pPr>
        <w:pStyle w:val="NoSpacing"/>
        <w:rPr>
          <w:rFonts w:ascii="Calibri" w:hAnsi="Calibri"/>
          <w:b/>
          <w:sz w:val="22"/>
          <w:szCs w:val="22"/>
          <w:u w:val="single"/>
        </w:rPr>
      </w:pPr>
    </w:p>
    <w:p w:rsidR="005F4EB6" w:rsidRPr="00EE03A6" w:rsidRDefault="005F4EB6" w:rsidP="005F4EB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t xml:space="preserve">Could the field have moved the policy change we seek? Why or why not?  </w:t>
      </w:r>
    </w:p>
    <w:p w:rsidR="00EE03A6" w:rsidRPr="005F4EB6" w:rsidRDefault="00EE03A6" w:rsidP="00EE03A6">
      <w:pPr>
        <w:pStyle w:val="ListParagraph"/>
        <w:numPr>
          <w:ilvl w:val="0"/>
          <w:numId w:val="1"/>
        </w:numPr>
      </w:pPr>
      <w:r>
        <w:t xml:space="preserve">Has our </w:t>
      </w:r>
      <w:proofErr w:type="spellStart"/>
      <w:r>
        <w:t>grantmaking</w:t>
      </w:r>
      <w:proofErr w:type="spellEnd"/>
      <w:r>
        <w:t xml:space="preserve"> affected the field’s ability to respond to the assault on voting rights?</w:t>
      </w:r>
    </w:p>
    <w:p w:rsidR="00EE03A6" w:rsidRDefault="00EE03A6" w:rsidP="005F4EB6">
      <w:pPr>
        <w:pStyle w:val="ListParagraph"/>
        <w:numPr>
          <w:ilvl w:val="0"/>
          <w:numId w:val="1"/>
        </w:numPr>
      </w:pPr>
      <w:r>
        <w:t>Was</w:t>
      </w:r>
      <w:r w:rsidR="005F4EB6" w:rsidRPr="005F4EB6">
        <w:t xml:space="preserve"> pressing the field to</w:t>
      </w:r>
      <w:r w:rsidR="005F4EB6">
        <w:t xml:space="preserve"> advance affirmative reforms while organizations were stretched just playing defense (together with furnishing the field new communications tools), </w:t>
      </w:r>
      <w:r>
        <w:t xml:space="preserve">sound?  </w:t>
      </w:r>
    </w:p>
    <w:p w:rsidR="005F4EB6" w:rsidRDefault="005F4EB6" w:rsidP="005F4EB6">
      <w:pPr>
        <w:pStyle w:val="ListParagraph"/>
        <w:numPr>
          <w:ilvl w:val="0"/>
          <w:numId w:val="1"/>
        </w:numPr>
      </w:pPr>
      <w:r>
        <w:t>W</w:t>
      </w:r>
      <w:r w:rsidR="00EE03A6">
        <w:t>as</w:t>
      </w:r>
      <w:r>
        <w:t xml:space="preserve"> our response</w:t>
      </w:r>
      <w:r w:rsidR="005422F7">
        <w:t xml:space="preserve"> to</w:t>
      </w:r>
      <w:r>
        <w:t xml:space="preserve"> </w:t>
      </w:r>
      <w:r w:rsidR="00EE03A6">
        <w:t xml:space="preserve">the </w:t>
      </w:r>
      <w:r w:rsidRPr="00EE03A6">
        <w:rPr>
          <w:i/>
        </w:rPr>
        <w:t>Shelby</w:t>
      </w:r>
      <w:r>
        <w:t xml:space="preserve"> decision</w:t>
      </w:r>
      <w:r w:rsidR="005422F7">
        <w:t xml:space="preserve"> </w:t>
      </w:r>
      <w:r>
        <w:t>the best way to meet the new needs</w:t>
      </w:r>
      <w:r w:rsidR="00A33720">
        <w:t>?</w:t>
      </w:r>
      <w:r w:rsidR="00EE03A6">
        <w:t xml:space="preserve"> </w:t>
      </w:r>
    </w:p>
    <w:p w:rsidR="00EE03A6" w:rsidRPr="00EE03A6" w:rsidRDefault="00EE03A6" w:rsidP="00EE03A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t xml:space="preserve">Is the notion of developing an acceptable voter ID proposal worthwhile? </w:t>
      </w:r>
    </w:p>
    <w:p w:rsidR="005F4EB6" w:rsidRPr="00764666" w:rsidRDefault="005F4EB6" w:rsidP="005F4EB6">
      <w:pPr>
        <w:pStyle w:val="NoSpacing"/>
        <w:rPr>
          <w:rFonts w:ascii="Calibri" w:hAnsi="Calibri"/>
          <w:b/>
          <w:sz w:val="22"/>
          <w:szCs w:val="22"/>
          <w:u w:val="single"/>
        </w:rPr>
      </w:pPr>
    </w:p>
    <w:p w:rsidR="00764666" w:rsidRDefault="00764666" w:rsidP="005F4EB6">
      <w:pPr>
        <w:pStyle w:val="NoSpacing"/>
        <w:rPr>
          <w:rFonts w:ascii="Calibri" w:hAnsi="Calibri"/>
          <w:b/>
          <w:sz w:val="22"/>
          <w:szCs w:val="22"/>
          <w:u w:val="single"/>
        </w:rPr>
      </w:pPr>
      <w:r w:rsidRPr="00764666">
        <w:rPr>
          <w:rFonts w:ascii="Calibri" w:hAnsi="Calibri"/>
          <w:b/>
          <w:sz w:val="22"/>
          <w:szCs w:val="22"/>
          <w:u w:val="single"/>
        </w:rPr>
        <w:t>Portfolio Review Roles</w:t>
      </w:r>
      <w:r>
        <w:rPr>
          <w:rFonts w:ascii="Calibri" w:hAnsi="Calibri"/>
          <w:b/>
          <w:sz w:val="22"/>
          <w:szCs w:val="22"/>
          <w:u w:val="single"/>
        </w:rPr>
        <w:t>:</w:t>
      </w:r>
    </w:p>
    <w:p w:rsidR="00A04706" w:rsidRDefault="00A04706" w:rsidP="005F4EB6">
      <w:pPr>
        <w:pStyle w:val="NoSpacing"/>
        <w:rPr>
          <w:rFonts w:ascii="Calibri" w:hAnsi="Calibri"/>
          <w:b/>
          <w:sz w:val="22"/>
          <w:szCs w:val="22"/>
          <w:u w:val="single"/>
        </w:rPr>
      </w:pPr>
    </w:p>
    <w:p w:rsidR="00306560" w:rsidRPr="00A04706" w:rsidRDefault="00306560" w:rsidP="005F4EB6">
      <w:pPr>
        <w:pStyle w:val="NoSpacing"/>
        <w:rPr>
          <w:rFonts w:ascii="Calibri" w:hAnsi="Calibri"/>
          <w:sz w:val="22"/>
          <w:szCs w:val="22"/>
        </w:rPr>
      </w:pPr>
      <w:r w:rsidRPr="00EE03A6">
        <w:rPr>
          <w:rFonts w:ascii="Calibri" w:hAnsi="Calibri"/>
          <w:sz w:val="22"/>
          <w:szCs w:val="22"/>
          <w:u w:val="single"/>
        </w:rPr>
        <w:t>Lead Staff</w:t>
      </w:r>
      <w:r w:rsidRPr="00A04706">
        <w:rPr>
          <w:rFonts w:ascii="Calibri" w:hAnsi="Calibri"/>
          <w:sz w:val="22"/>
          <w:szCs w:val="22"/>
        </w:rPr>
        <w:t xml:space="preserve">: </w:t>
      </w:r>
      <w:r w:rsidR="00483180">
        <w:rPr>
          <w:rFonts w:ascii="Calibri" w:hAnsi="Calibri"/>
          <w:sz w:val="22"/>
          <w:szCs w:val="22"/>
        </w:rPr>
        <w:t>Laleh Ispahani (Incident One)</w:t>
      </w:r>
      <w:r w:rsidRPr="00A04706">
        <w:rPr>
          <w:rFonts w:ascii="Calibri" w:hAnsi="Calibri"/>
          <w:sz w:val="22"/>
          <w:szCs w:val="22"/>
        </w:rPr>
        <w:t xml:space="preserve">; </w:t>
      </w:r>
      <w:r w:rsidR="00483180">
        <w:rPr>
          <w:rFonts w:ascii="Calibri" w:hAnsi="Calibri"/>
          <w:sz w:val="22"/>
          <w:szCs w:val="22"/>
        </w:rPr>
        <w:t>Erica Teasley Linnick (Incident Two)</w:t>
      </w:r>
    </w:p>
    <w:p w:rsidR="00764666" w:rsidRPr="00EE03A6" w:rsidRDefault="00764666" w:rsidP="005F4EB6">
      <w:pPr>
        <w:pStyle w:val="NoSpacing"/>
        <w:rPr>
          <w:rFonts w:ascii="Calibri" w:hAnsi="Calibri"/>
          <w:sz w:val="22"/>
          <w:szCs w:val="22"/>
        </w:rPr>
      </w:pPr>
      <w:r w:rsidRPr="00EE03A6">
        <w:rPr>
          <w:rFonts w:ascii="Calibri" w:hAnsi="Calibri"/>
          <w:sz w:val="22"/>
          <w:szCs w:val="22"/>
          <w:u w:val="single"/>
        </w:rPr>
        <w:t>Discussant:</w:t>
      </w:r>
      <w:r w:rsidR="0002705E" w:rsidRPr="00EE03A6">
        <w:rPr>
          <w:rFonts w:ascii="Calibri" w:hAnsi="Calibri"/>
          <w:sz w:val="22"/>
          <w:szCs w:val="22"/>
        </w:rPr>
        <w:t xml:space="preserve"> Julie Fernandes &amp; Damon Hewitt</w:t>
      </w:r>
      <w:r w:rsidR="000D1627">
        <w:rPr>
          <w:rFonts w:ascii="Calibri" w:hAnsi="Calibri"/>
          <w:sz w:val="22"/>
          <w:szCs w:val="22"/>
        </w:rPr>
        <w:t xml:space="preserve"> (tentative)</w:t>
      </w:r>
    </w:p>
    <w:p w:rsidR="00764666" w:rsidRDefault="00764666" w:rsidP="005F4EB6">
      <w:pPr>
        <w:pStyle w:val="NoSpacing"/>
        <w:rPr>
          <w:rFonts w:ascii="Calibri" w:hAnsi="Calibri"/>
          <w:sz w:val="22"/>
          <w:szCs w:val="22"/>
        </w:rPr>
      </w:pPr>
      <w:r w:rsidRPr="00EE03A6">
        <w:rPr>
          <w:rFonts w:ascii="Calibri" w:hAnsi="Calibri"/>
          <w:sz w:val="22"/>
          <w:szCs w:val="22"/>
          <w:u w:val="single"/>
        </w:rPr>
        <w:t>Moderator</w:t>
      </w:r>
      <w:r w:rsidR="0002705E" w:rsidRPr="00EE03A6">
        <w:rPr>
          <w:rFonts w:ascii="Calibri" w:hAnsi="Calibri"/>
          <w:sz w:val="22"/>
          <w:szCs w:val="22"/>
          <w:u w:val="single"/>
        </w:rPr>
        <w:t>:</w:t>
      </w:r>
      <w:r w:rsidR="0002705E" w:rsidRPr="00EE03A6">
        <w:rPr>
          <w:rFonts w:ascii="Calibri" w:hAnsi="Calibri"/>
          <w:sz w:val="22"/>
          <w:szCs w:val="22"/>
        </w:rPr>
        <w:t xml:space="preserve"> Ken Zimmerman</w:t>
      </w:r>
    </w:p>
    <w:p w:rsidR="00483180" w:rsidRPr="00483180" w:rsidRDefault="00483180" w:rsidP="005F4EB6">
      <w:pPr>
        <w:pStyle w:val="NoSpacing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val="single"/>
        </w:rPr>
        <w:t>Rapporteur:</w:t>
      </w:r>
      <w:r>
        <w:rPr>
          <w:rFonts w:ascii="Calibri" w:hAnsi="Calibri"/>
          <w:sz w:val="22"/>
          <w:szCs w:val="22"/>
        </w:rPr>
        <w:t xml:space="preserve"> Rachel Hamalainen</w:t>
      </w:r>
    </w:p>
    <w:sectPr w:rsidR="00483180" w:rsidRPr="00483180" w:rsidSect="00483180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D13" w:rsidRDefault="00504D13">
      <w:r>
        <w:separator/>
      </w:r>
    </w:p>
  </w:endnote>
  <w:endnote w:type="continuationSeparator" w:id="0">
    <w:p w:rsidR="00504D13" w:rsidRDefault="0050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C0A" w:rsidRDefault="00904C0A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D13" w:rsidRDefault="00504D13">
      <w:r>
        <w:separator/>
      </w:r>
    </w:p>
  </w:footnote>
  <w:footnote w:type="continuationSeparator" w:id="0">
    <w:p w:rsidR="00504D13" w:rsidRDefault="00504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C0A" w:rsidRDefault="00904C0A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455B"/>
    <w:multiLevelType w:val="multilevel"/>
    <w:tmpl w:val="D466EE0C"/>
    <w:styleLink w:val="List1"/>
    <w:lvl w:ilvl="0">
      <w:numFmt w:val="bullet"/>
      <w:lvlText w:val="•"/>
      <w:lvlJc w:val="left"/>
      <w:pPr>
        <w:ind w:left="0" w:firstLine="0"/>
      </w:pPr>
      <w:rPr>
        <w:position w:val="0"/>
      </w:rPr>
    </w:lvl>
    <w:lvl w:ilvl="1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▪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▪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▪"/>
      <w:lvlJc w:val="left"/>
      <w:pPr>
        <w:ind w:left="0" w:firstLine="0"/>
      </w:pPr>
      <w:rPr>
        <w:position w:val="0"/>
      </w:rPr>
    </w:lvl>
  </w:abstractNum>
  <w:abstractNum w:abstractNumId="1">
    <w:nsid w:val="150E79E2"/>
    <w:multiLevelType w:val="hybridMultilevel"/>
    <w:tmpl w:val="C2B66966"/>
    <w:lvl w:ilvl="0" w:tplc="D84EE20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27B8"/>
    <w:multiLevelType w:val="multilevel"/>
    <w:tmpl w:val="D16248BA"/>
    <w:styleLink w:val="List21"/>
    <w:lvl w:ilvl="0">
      <w:numFmt w:val="bullet"/>
      <w:lvlText w:val="•"/>
      <w:lvlJc w:val="left"/>
      <w:pPr>
        <w:ind w:left="0" w:firstLine="0"/>
      </w:pPr>
      <w:rPr>
        <w:position w:val="0"/>
      </w:rPr>
    </w:lvl>
    <w:lvl w:ilvl="1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▪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▪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▪"/>
      <w:lvlJc w:val="left"/>
      <w:pPr>
        <w:ind w:left="0" w:firstLine="0"/>
      </w:pPr>
      <w:rPr>
        <w:position w:val="0"/>
      </w:rPr>
    </w:lvl>
  </w:abstractNum>
  <w:abstractNum w:abstractNumId="3">
    <w:nsid w:val="4DE76B2A"/>
    <w:multiLevelType w:val="multilevel"/>
    <w:tmpl w:val="D576CE92"/>
    <w:lvl w:ilvl="0">
      <w:numFmt w:val="bullet"/>
      <w:lvlText w:val="•"/>
      <w:lvlJc w:val="left"/>
      <w:pPr>
        <w:ind w:left="0" w:firstLine="0"/>
      </w:pPr>
      <w:rPr>
        <w:position w:val="0"/>
      </w:rPr>
    </w:lvl>
    <w:lvl w:ilvl="1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▪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▪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o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▪"/>
      <w:lvlJc w:val="left"/>
      <w:pPr>
        <w:ind w:left="0" w:firstLine="0"/>
      </w:pPr>
      <w:rPr>
        <w:position w:val="0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04C0A"/>
    <w:rsid w:val="0002705E"/>
    <w:rsid w:val="000D1627"/>
    <w:rsid w:val="00130C91"/>
    <w:rsid w:val="00132DD7"/>
    <w:rsid w:val="00202760"/>
    <w:rsid w:val="00291ACA"/>
    <w:rsid w:val="00306560"/>
    <w:rsid w:val="003611BC"/>
    <w:rsid w:val="00483180"/>
    <w:rsid w:val="00504D13"/>
    <w:rsid w:val="00530F20"/>
    <w:rsid w:val="00540F19"/>
    <w:rsid w:val="005422F7"/>
    <w:rsid w:val="00592708"/>
    <w:rsid w:val="005F4EB6"/>
    <w:rsid w:val="0061209D"/>
    <w:rsid w:val="006D74A2"/>
    <w:rsid w:val="00764666"/>
    <w:rsid w:val="007B64E5"/>
    <w:rsid w:val="007E4072"/>
    <w:rsid w:val="008507D8"/>
    <w:rsid w:val="008C10F2"/>
    <w:rsid w:val="00904C0A"/>
    <w:rsid w:val="00974898"/>
    <w:rsid w:val="00993AE4"/>
    <w:rsid w:val="00A04706"/>
    <w:rsid w:val="00A13041"/>
    <w:rsid w:val="00A33720"/>
    <w:rsid w:val="00AF5C98"/>
    <w:rsid w:val="00C804AF"/>
    <w:rsid w:val="00CC61B6"/>
    <w:rsid w:val="00D93540"/>
    <w:rsid w:val="00DC0A3F"/>
    <w:rsid w:val="00E87ABF"/>
    <w:rsid w:val="00EB01F4"/>
    <w:rsid w:val="00EB61DD"/>
    <w:rsid w:val="00EE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0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4EB6"/>
    <w:rPr>
      <w:sz w:val="24"/>
      <w:szCs w:val="24"/>
    </w:rPr>
  </w:style>
  <w:style w:type="paragraph" w:styleId="ListParagraph">
    <w:name w:val="List Paragraph"/>
    <w:basedOn w:val="Normal"/>
    <w:qFormat/>
    <w:rsid w:val="005F4E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="Times New Roman" w:hAnsi="Calibri"/>
      <w:sz w:val="22"/>
      <w:szCs w:val="22"/>
      <w:bdr w:val="none" w:sz="0" w:space="0" w:color="auto"/>
    </w:rPr>
  </w:style>
  <w:style w:type="numbering" w:customStyle="1" w:styleId="List1">
    <w:name w:val="List 1"/>
    <w:rsid w:val="005F4EB6"/>
    <w:pPr>
      <w:numPr>
        <w:numId w:val="2"/>
      </w:numPr>
    </w:pPr>
  </w:style>
  <w:style w:type="numbering" w:customStyle="1" w:styleId="List21">
    <w:name w:val="List 21"/>
    <w:rsid w:val="005F4EB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0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4EB6"/>
    <w:rPr>
      <w:sz w:val="24"/>
      <w:szCs w:val="24"/>
    </w:rPr>
  </w:style>
  <w:style w:type="paragraph" w:styleId="ListParagraph">
    <w:name w:val="List Paragraph"/>
    <w:basedOn w:val="Normal"/>
    <w:qFormat/>
    <w:rsid w:val="005F4E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="Times New Roman" w:hAnsi="Calibri"/>
      <w:sz w:val="22"/>
      <w:szCs w:val="22"/>
      <w:bdr w:val="none" w:sz="0" w:space="0" w:color="auto"/>
    </w:rPr>
  </w:style>
  <w:style w:type="numbering" w:customStyle="1" w:styleId="List1">
    <w:name w:val="List 1"/>
    <w:rsid w:val="005F4EB6"/>
    <w:pPr>
      <w:numPr>
        <w:numId w:val="2"/>
      </w:numPr>
    </w:pPr>
  </w:style>
  <w:style w:type="numbering" w:customStyle="1" w:styleId="List21">
    <w:name w:val="List 21"/>
    <w:rsid w:val="005F4EB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449E5-50B7-4BE4-813A-5D1909A7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2888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Teasley Linnick</dc:creator>
  <cp:lastModifiedBy>Daphne Panayotatos</cp:lastModifiedBy>
  <cp:revision>2</cp:revision>
  <dcterms:created xsi:type="dcterms:W3CDTF">2014-12-09T15:48:00Z</dcterms:created>
  <dcterms:modified xsi:type="dcterms:W3CDTF">2014-12-09T15:48:00Z</dcterms:modified>
</cp:coreProperties>
</file>